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B6C12" w:rsidRDefault="00FB6C1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9639" w:type="dxa"/>
        <w:tblInd w:w="93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639"/>
      </w:tblGrid>
      <w:tr w:rsidR="00595369">
        <w:tc>
          <w:tcPr>
            <w:tcW w:w="963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2F2F2"/>
          </w:tcPr>
          <w:p w:rsidR="00595369" w:rsidRDefault="00595369" w:rsidP="00595369">
            <w:pPr>
              <w:tabs>
                <w:tab w:val="left" w:pos="540"/>
              </w:tabs>
              <w:jc w:val="both"/>
              <w:rPr>
                <w:sz w:val="22"/>
                <w:szCs w:val="22"/>
              </w:rPr>
            </w:pPr>
            <w:r w:rsidRPr="0038257C">
              <w:rPr>
                <w:b/>
                <w:sz w:val="22"/>
                <w:szCs w:val="22"/>
              </w:rPr>
              <w:t>Стандард 1</w:t>
            </w:r>
            <w:r>
              <w:rPr>
                <w:b/>
                <w:sz w:val="22"/>
                <w:szCs w:val="22"/>
                <w:lang w:val="sr-Cyrl-RS"/>
              </w:rPr>
              <w:t>5</w:t>
            </w:r>
            <w:r w:rsidRPr="0038257C">
              <w:rPr>
                <w:b/>
                <w:sz w:val="22"/>
                <w:szCs w:val="22"/>
              </w:rPr>
              <w:t>.</w:t>
            </w:r>
            <w:r w:rsidR="00DB6F91">
              <w:t xml:space="preserve"> </w:t>
            </w:r>
            <w:bookmarkStart w:id="0" w:name="_GoBack"/>
            <w:bookmarkEnd w:id="0"/>
            <w:r w:rsidR="00DB6F91" w:rsidRPr="00DB6F91">
              <w:rPr>
                <w:b/>
                <w:sz w:val="22"/>
                <w:szCs w:val="22"/>
              </w:rPr>
              <w:t>Студије на даљину</w:t>
            </w:r>
          </w:p>
        </w:tc>
      </w:tr>
      <w:tr w:rsidR="00FB6C12">
        <w:tc>
          <w:tcPr>
            <w:tcW w:w="963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2F2F2"/>
          </w:tcPr>
          <w:p w:rsidR="00FB6C12" w:rsidRDefault="008A2D47">
            <w:pPr>
              <w:tabs>
                <w:tab w:val="left" w:pos="540"/>
              </w:tabs>
              <w:ind w:firstLine="516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Студијски програм </w:t>
            </w:r>
            <w:r w:rsidR="009918C0">
              <w:rPr>
                <w:sz w:val="22"/>
                <w:szCs w:val="22"/>
                <w:lang w:val="sr-Cyrl-RS"/>
              </w:rPr>
              <w:t xml:space="preserve">Мастер академских студија педагогије </w:t>
            </w:r>
            <w:r>
              <w:rPr>
                <w:sz w:val="22"/>
                <w:szCs w:val="22"/>
              </w:rPr>
              <w:t xml:space="preserve">на даљину акредитује се као посебан студијски програм истог назива као и </w:t>
            </w:r>
            <w:r w:rsidR="009918C0">
              <w:rPr>
                <w:sz w:val="22"/>
                <w:szCs w:val="22"/>
                <w:lang w:val="sr-Cyrl-RS"/>
              </w:rPr>
              <w:t>истоимени</w:t>
            </w:r>
            <w:r>
              <w:rPr>
                <w:sz w:val="22"/>
                <w:szCs w:val="22"/>
              </w:rPr>
              <w:t xml:space="preserve"> програм који се реализује класичним моделом наставе у седишту високошколске установе. Његовом реализацијом обезбеђују се исти циљеви, исходи учења и компетенције студената, као и исти број ЕСПБ бодова, ниво квалификације, ефикасност студирања и квалитет стечене дипломе.</w:t>
            </w:r>
          </w:p>
          <w:p w:rsidR="00FB6C12" w:rsidRDefault="008A2D47">
            <w:pPr>
              <w:tabs>
                <w:tab w:val="left" w:pos="540"/>
              </w:tabs>
              <w:ind w:firstLine="516"/>
              <w:jc w:val="both"/>
              <w:rPr>
                <w:sz w:val="22"/>
                <w:szCs w:val="22"/>
              </w:rPr>
            </w:pPr>
            <w:bookmarkStart w:id="1" w:name="_heading=h.2iod8xaosrem" w:colFirst="0" w:colLast="0"/>
            <w:bookmarkEnd w:id="1"/>
            <w:r>
              <w:rPr>
                <w:sz w:val="22"/>
                <w:szCs w:val="22"/>
              </w:rPr>
              <w:t>Реализација студијског програма заснива се на примени савремених информационо-комуникационих технологија и интегрисаног система за управљање учењем (LMS). Као централна платформа користи се Google Workspace for Education, који обухвата Google Classroom окружење, Google Meet сервис за синхрону наставу и консултације, као и низ пратећих алата намењених комуникацији, дистрибуцији наставних материјала, сарадничком раду, провери знања и праћењу активности студената (Gmail, Google Chat, Google Groups, Google Docs, Sheets, Slides, Forms, Vids, Google Drive, Calendar, Sites, AI Studio, Applied Digital Skills, Colab, Arts and Culture и Books).</w:t>
            </w:r>
          </w:p>
          <w:p w:rsidR="00FB6C12" w:rsidRDefault="008A2D47">
            <w:pPr>
              <w:tabs>
                <w:tab w:val="left" w:pos="540"/>
              </w:tabs>
              <w:ind w:firstLine="516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Извођење наставе организује се синхроно, у реалном времену, у складу са унапред утврђеним и јавно доступним распоредом часова. Истовремено, студентима су обезбеђени и различити облици асинхроне подршке, који укључују дигиталне наставне материјале, снимљена предавања, електронске консултације, дискусионе форуме и индивидуални менторски рад. </w:t>
            </w:r>
          </w:p>
          <w:p w:rsidR="00FB6C12" w:rsidRDefault="008A2D47">
            <w:pPr>
              <w:tabs>
                <w:tab w:val="left" w:pos="540"/>
              </w:tabs>
              <w:ind w:firstLine="516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Настава и све друге активности у оквиру студијског програма реализују се на српском језику.</w:t>
            </w:r>
          </w:p>
          <w:p w:rsidR="00FB6C12" w:rsidRDefault="008A2D47">
            <w:pPr>
              <w:tabs>
                <w:tab w:val="left" w:pos="540"/>
              </w:tabs>
              <w:ind w:firstLine="516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Садржаји свих предмета усклађени су са савременим научним, стручним и методолошким достигнућима у областима педагогије и сродних наука. Концепција наставе на даљину заснива се на јасно дефинисаним исходима учења и примени дигитализованих наставних материјала, видео-предавања, презентација, интерактивних задатака, истраживачких и пројектних активности, електронских консултација и менторског рада са студентима. За сваки предмет унапред су утврђени термини синхроне наставе и консултација са наставницима и сарадницима, време предвиђено за индивидуални рад студената, рокови и динамика реализације предиспитних обавеза, начин праћења активности студената, као и критеријуми и елементи оцењивања.</w:t>
            </w:r>
          </w:p>
          <w:p w:rsidR="00FB6C12" w:rsidRDefault="008A2D47">
            <w:pPr>
              <w:tabs>
                <w:tab w:val="left" w:pos="540"/>
              </w:tabs>
              <w:ind w:firstLine="516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Путем LMS система и интернет странице установе студентима су доступне све информације од значаја за реализацију студијског програма, укључујући организацију наставе, наставне активности, предиспитне обавезе, начин комуникације и поступке провере знања. Међусобна комуникација наставника и студената обезбеђује се посредством LMS система, видео-конференцијских алата, електронске поште, дискусионих форума и система за размену наставних материјала. Консултације се организују у синхроном и асинхроном облику и реализују као индивидуални и групни облици рада.</w:t>
            </w:r>
          </w:p>
          <w:p w:rsidR="00FB6C12" w:rsidRDefault="008A2D47">
            <w:pPr>
              <w:tabs>
                <w:tab w:val="left" w:pos="540"/>
              </w:tabs>
              <w:ind w:firstLine="516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У реализацији студијског програма </w:t>
            </w:r>
            <w:r w:rsidR="009918C0">
              <w:rPr>
                <w:sz w:val="22"/>
                <w:szCs w:val="22"/>
                <w:lang w:val="sr-Cyrl-RS"/>
              </w:rPr>
              <w:t xml:space="preserve">Мастер академских студија педагогије </w:t>
            </w:r>
            <w:r>
              <w:rPr>
                <w:sz w:val="22"/>
                <w:szCs w:val="22"/>
              </w:rPr>
              <w:t>примењују се различити облици наставних и истраживачких активности, као што су предавања, семинарске презентације, академске дискусије, индивидуалне и групне консултације, менторски рад, истраживачки задаци и различити облици сарадничког учења. Наставни материјали су по свом обиму, садржају и структури усклађени са циљевима и исходима учења студијског програма и обухватају електронске уџбенике, презентације, видео и аудио-материјале, научне и стручне радове, интерактивне задатке, упутства за истраживачки рад и смернице за израду семинарских и пројектних задатака. Пратећа упутства за учење садрже конкретне смернице за организацију самосталног рада, примену стратегија учења, израду предиспитних обавеза и самопроверу знања. Редовно ажурирање наставних материјала спроводи се најмање једном током школске године, у складу са развојем педагошке науке и сродних дисциплина, резултатима студентских евалуација, извештајима Комисије за квалитет и налазима самоевалуације студијског програма. Студентима су обезбеђена детаљна упутства за организацију процеса учења, коришћење LMS система, планирање наставних активности, израду предиспитних обавеза, самосталну проверу знања, академско писање и правилно цитирање литературе.</w:t>
            </w:r>
          </w:p>
          <w:p w:rsidR="00FB6C12" w:rsidRDefault="008A2D47">
            <w:pPr>
              <w:tabs>
                <w:tab w:val="left" w:pos="540"/>
              </w:tabs>
              <w:ind w:firstLine="516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Организација наставе на даљину, стандарди квалитета наставних материјала, правила комуникације, поступци евалуације, технички стандарди, заштита података, академски интегритет и континуирано унапређење система студија на даљину уређени су Правилником о извођењу студија на даљину.</w:t>
            </w:r>
          </w:p>
          <w:p w:rsidR="00FB6C12" w:rsidRDefault="008A2D47">
            <w:pPr>
              <w:tabs>
                <w:tab w:val="left" w:pos="540"/>
              </w:tabs>
              <w:ind w:firstLine="516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За реализацију студијског програма установа обезбеђује савремену информационо-комуникациону инфраструктуру, лиценциране софтверске платформе за учење на даљину, техничку подршку студентима и наставницима, као и континуирану едукацију наставног особља за извођење наставе на даљину. Техничка подршка организована је посредством Центра за студије на даљину, електронске поште и институционалног система подршке и доступна је током радне недеље, у складу са радним временом установе, док се пријава техничких проблема врши електронским путем.</w:t>
            </w:r>
          </w:p>
          <w:p w:rsidR="00FB6C12" w:rsidRDefault="008A2D47">
            <w:pPr>
              <w:tabs>
                <w:tab w:val="left" w:pos="540"/>
              </w:tabs>
              <w:ind w:firstLine="516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Примењене методе рада, организација наставе, наставни кадар и информационо-комуникациона инфраструктура обезбеђују једнак квалитет образовања као и класичан модел извођења наставе. Систем студија на даљину омогућава континуирано праћење рада студената, евиденцију присуства и активности на LMS систему, праћење реализације наставних активности, транспарентно оцењивање, академску и менторску подршку, као и ефикасно остваривање исхода учења. Истовремено, LMS систем обезбеђује евиденцију приступа наставним садржајима, активности корисника, реализације предиспитних обавеза и комуникације између наставника и студената.</w:t>
            </w:r>
          </w:p>
          <w:p w:rsidR="00FB6C12" w:rsidRDefault="008A2D47">
            <w:pPr>
              <w:tabs>
                <w:tab w:val="left" w:pos="540"/>
              </w:tabs>
              <w:ind w:firstLine="516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Упис на студијски програм који се реализује учењем на даљину спроводи се под истим условима и критеријумима који важе за одговарајући студијски програм реализован класичним моделом наставе. Критеријуми уписа јавно су доступни на интернет страници установе и у конкурсној документацији. Поред тога, студентима је омогућена проходност између студија на даљину и класичног модела студирања у складу са Законом о високом образовању, Статутом установе и општим актима којима се уређују студирање и признавање ЕСПБ бодова.</w:t>
            </w:r>
          </w:p>
          <w:p w:rsidR="00FB6C12" w:rsidRDefault="008A2D47">
            <w:pPr>
              <w:tabs>
                <w:tab w:val="left" w:pos="540"/>
              </w:tabs>
              <w:ind w:firstLine="516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Систем за проверу знаања интегрисан је у LMS систем и омогућава идентификацију корисника, електронско тестирање, евиденцију предиспитних активности, електронско евидентирање резултата и комуникацију између наставника и студената. Идентификација студената обезбеђује се коришћењем јединствених институционалних налога, контролисаним приступом систему, евиденцијом активности и применом мера аутентификације и ауторизације. За потребе провере идентитета у реалном времену примењује се и видео-идентификација.</w:t>
            </w:r>
          </w:p>
          <w:p w:rsidR="00FB6C12" w:rsidRDefault="008A2D47">
            <w:pPr>
              <w:tabs>
                <w:tab w:val="left" w:pos="540"/>
              </w:tabs>
              <w:ind w:firstLine="516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Провера и оцењивање постигнућа студената реализују се кроз предиспитне обавезе, колоквијуме, семинарске и пројектне задатке, практичне активности, истраживачки рад и завршни испит. Критеријуми оцењивања идентични су критеријумима који се примењују на класичним студијама. Завршни испити полажу се у седишту високошколске установе или у објектима наведеним у дозволи за рад установе.</w:t>
            </w:r>
          </w:p>
          <w:p w:rsidR="00FB6C12" w:rsidRDefault="008A2D47">
            <w:pPr>
              <w:tabs>
                <w:tab w:val="left" w:pos="540"/>
              </w:tabs>
              <w:ind w:firstLine="516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Практична настава реализује се у складу са природом студијског програма, непосредно у установама васпитања и образовања и другим институцијама у којима педагози обављају професионалне активности. Начин реализације, евидентирања и вредновања практичне наставе дефинисан је студијским програмом и интерним актима установе.</w:t>
            </w:r>
          </w:p>
          <w:p w:rsidR="00FB6C12" w:rsidRDefault="008A2D47">
            <w:pPr>
              <w:tabs>
                <w:tab w:val="left" w:pos="540"/>
              </w:tabs>
              <w:ind w:firstLine="516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Реализацију студијског програма обезбеђује квалификовано и компетентно наставно особље које поседује одговарајуће научне и стручне референце, педагошке компетенције, искуство у извођењу наставе и компетенције за образовање на даљину. Сви наставници и сарадници који учествују у реализацији студија на даљину прошли су одговарајућу обуку за коришћење LMS система, креирање мултимедијалних садржаја, електронску проверу знања и онлајн комуникацију. Установа води евиденцију о реализованим обукама и сертификатима запослених. При планирању оптерећења наставника и сарадника примењују се стандарди за студије на даљину, према којима један наставник покрива највише три предмета у семестру, а наставник, односно сарадник, може обављати консултације са највише 80 студената у једном семестру. Потребан број наставника и сарадника у сталном радном односу обезбеђује се у складу са стандардом према којем најмање 70% минимално потребног броја наставника и сарадника чине лица у радном односу код установе.</w:t>
            </w:r>
          </w:p>
          <w:p w:rsidR="00FB6C12" w:rsidRDefault="008A2D47">
            <w:pPr>
              <w:tabs>
                <w:tab w:val="left" w:pos="540"/>
              </w:tabs>
              <w:ind w:firstLine="516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Координацију студијског програма обавља одговорни наставник – руководилац студијског програма, који прати и усклађује организацију наставе, рад наставног особља, систем подршке студентима и поступке контроле квалитета реализације студија на даљину.</w:t>
            </w:r>
          </w:p>
          <w:p w:rsidR="00FB6C12" w:rsidRDefault="008A2D47">
            <w:pPr>
              <w:tabs>
                <w:tab w:val="left" w:pos="540"/>
              </w:tabs>
              <w:ind w:firstLine="516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Информационо-комуникациона инфраструктура система пројектована је и одржавана тако да обезбеђује поверљивост и интегритет података, сигурност комуникације, заштиту корисничких налога, континуитет наставног процеса, редовно архивирање података и израду резервних копија информационог система. Студентима и наставницима омогућен је приступ библиотечком фонду </w:t>
            </w:r>
            <w:r>
              <w:rPr>
                <w:sz w:val="22"/>
                <w:szCs w:val="22"/>
              </w:rPr>
              <w:lastRenderedPageBreak/>
              <w:t>установе, електронским базама података, дигиталним библиотекама, научним часописима, електронским уџбеницима и другим публикацијама. Установа располаже адекватним простором за организацију завршних испита, рад административних служби, одржавање информационог система и рад организационе јединице за студије на даљину.</w:t>
            </w:r>
          </w:p>
          <w:p w:rsidR="00FB6C12" w:rsidRDefault="008A2D47">
            <w:pPr>
              <w:tabs>
                <w:tab w:val="left" w:pos="540"/>
              </w:tabs>
              <w:ind w:firstLine="516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Обезбеђивање и унапређивање квалитета студија на даљину спроводи се путем студентских евалуација, самовредновања, анализе успешности студената, праћења функционисања LMS система и извештаја надлежних тела за квалитет. На основу резултата ових поступака континуирано се унапређују наставни процес, наставни материјали и техничка инфраструктура. Установа има систематизовано радно место за одржавање и развој инфраструктуре система студија на даљину.</w:t>
            </w:r>
          </w:p>
          <w:p w:rsidR="00FB6C12" w:rsidRDefault="008A2D47">
            <w:pPr>
              <w:tabs>
                <w:tab w:val="left" w:pos="540"/>
              </w:tabs>
              <w:ind w:firstLine="516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Формална и структурна усклађеност студијског програма потврђена је његовом упоредивошћу са најмање три акредитована студијска програма иностраних високошколских установа, од којих се најмање један реализује у оквиру европског простора високог образовања, што је документовано у анализи упоредивости студијског програма.</w:t>
            </w:r>
          </w:p>
          <w:p w:rsidR="00FB6C12" w:rsidRDefault="008A2D47">
            <w:pPr>
              <w:tabs>
                <w:tab w:val="left" w:pos="540"/>
              </w:tabs>
              <w:ind w:firstLine="516"/>
              <w:jc w:val="both"/>
              <w:rPr>
                <w:color w:val="FF0000"/>
                <w:sz w:val="22"/>
                <w:szCs w:val="22"/>
              </w:rPr>
            </w:pPr>
            <w:r>
              <w:rPr>
                <w:sz w:val="22"/>
                <w:szCs w:val="22"/>
              </w:rPr>
              <w:t>Пре почетка наставе студенти се упознају са минималним техничким условима неопходним за праћење наставе на даљину, који обухватају приступ интернету, коришћење одговарајућег уређаја и подржаних интернет прегледача, као и поседовање основних дигиталних компетенција за рад у LMS систему.</w:t>
            </w:r>
          </w:p>
        </w:tc>
      </w:tr>
      <w:tr w:rsidR="00FB6C12">
        <w:tc>
          <w:tcPr>
            <w:tcW w:w="963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2F2F2"/>
          </w:tcPr>
          <w:p w:rsidR="00FB6C12" w:rsidRDefault="008A2D47">
            <w:pPr>
              <w:pBdr>
                <w:bottom w:val="single" w:sz="6" w:space="1" w:color="000000"/>
              </w:pBdr>
              <w:ind w:firstLine="450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lastRenderedPageBreak/>
              <w:t>Табеле и Прилози за стандард 15:</w:t>
            </w:r>
          </w:p>
          <w:p w:rsidR="00FB6C12" w:rsidRDefault="008A2D47">
            <w:pPr>
              <w:pBdr>
                <w:bottom w:val="single" w:sz="6" w:space="1" w:color="000000"/>
              </w:pBdr>
              <w:ind w:firstLine="450"/>
              <w:jc w:val="both"/>
            </w:pPr>
            <w:r>
              <w:t>Прилог 15.1. Одлука о формирању стручног тима за обуку наставника за ДЛС, Одлука о именовању одговорног руководиоца ДЛС студијског програма и руководиоца у информационо-комуникационим центрима ван седишта установе.</w:t>
            </w:r>
          </w:p>
          <w:p w:rsidR="00FB6C12" w:rsidRDefault="008A2D47">
            <w:pPr>
              <w:pBdr>
                <w:bottom w:val="single" w:sz="6" w:space="1" w:color="000000"/>
              </w:pBdr>
              <w:ind w:firstLine="450"/>
            </w:pPr>
            <w:r>
              <w:t xml:space="preserve">Прилог 15.2. Упутство за наставнике (у електронском облику). </w:t>
            </w:r>
          </w:p>
          <w:p w:rsidR="00FB6C12" w:rsidRDefault="008A2D47">
            <w:pPr>
              <w:pBdr>
                <w:bottom w:val="single" w:sz="6" w:space="1" w:color="000000"/>
              </w:pBdr>
              <w:ind w:firstLine="450"/>
            </w:pPr>
            <w:r>
              <w:t>Прилог 15.3. Упутство за студенте (у електронском облику).</w:t>
            </w:r>
          </w:p>
          <w:p w:rsidR="00FB6C12" w:rsidRDefault="008A2D47">
            <w:pPr>
              <w:pBdr>
                <w:bottom w:val="single" w:sz="6" w:space="1" w:color="000000"/>
              </w:pBdr>
              <w:ind w:firstLine="450"/>
            </w:pPr>
            <w:r>
              <w:t xml:space="preserve">Прилог 15.4. Чланови стручног тима за обуку са биографијом. </w:t>
            </w:r>
          </w:p>
          <w:p w:rsidR="00FB6C12" w:rsidRDefault="008A2D47">
            <w:pPr>
              <w:pBdr>
                <w:bottom w:val="single" w:sz="6" w:space="1" w:color="000000"/>
              </w:pBdr>
              <w:ind w:firstLine="450"/>
            </w:pPr>
            <w:r>
              <w:t>Прилог 15.5. Обучено особље за ДЛС.</w:t>
            </w:r>
          </w:p>
          <w:p w:rsidR="00FB6C12" w:rsidRDefault="008A2D47">
            <w:pPr>
              <w:pBdr>
                <w:bottom w:val="single" w:sz="6" w:space="1" w:color="000000"/>
              </w:pBdr>
              <w:ind w:firstLine="450"/>
            </w:pPr>
            <w:r>
              <w:t>Прилог 15.6. Опрема: детаљан опис, спецификација, број, намена.</w:t>
            </w:r>
          </w:p>
          <w:p w:rsidR="00FB6C12" w:rsidRDefault="008A2D47">
            <w:pPr>
              <w:pBdr>
                <w:bottom w:val="single" w:sz="6" w:space="1" w:color="000000"/>
              </w:pBdr>
              <w:ind w:firstLine="450"/>
            </w:pPr>
            <w:r>
              <w:t>Прилог 15.7. Правилник о извођењу студија на даљину.</w:t>
            </w:r>
          </w:p>
        </w:tc>
      </w:tr>
    </w:tbl>
    <w:p w:rsidR="00FB6C12" w:rsidRDefault="00FB6C12"/>
    <w:sectPr w:rsidR="00FB6C12">
      <w:headerReference w:type="default" r:id="rId7"/>
      <w:footerReference w:type="default" r:id="rId8"/>
      <w:pgSz w:w="11907" w:h="16840"/>
      <w:pgMar w:top="2269" w:right="851" w:bottom="851" w:left="1418" w:header="113" w:footer="17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F1958" w:rsidRDefault="002F1958">
      <w:r>
        <w:separator/>
      </w:r>
    </w:p>
  </w:endnote>
  <w:endnote w:type="continuationSeparator" w:id="0">
    <w:p w:rsidR="002F1958" w:rsidRDefault="002F195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F08BA10B-66FC-4942-89E8-0A832B1E470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5374FF36-2577-494C-8389-9B66C71C226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01C5B26B-B3C4-4415-81A3-2898CF10BA9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B6C12" w:rsidRDefault="008A2D47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jc w:val="center"/>
      <w:rPr>
        <w:color w:val="000000"/>
      </w:rPr>
    </w:pPr>
    <w:r>
      <w:rPr>
        <w:color w:val="000000"/>
      </w:rPr>
      <w:t>www.filfak.ni.ac.rs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F1958" w:rsidRDefault="002F1958">
      <w:r>
        <w:separator/>
      </w:r>
    </w:p>
  </w:footnote>
  <w:footnote w:type="continuationSeparator" w:id="0">
    <w:p w:rsidR="002F1958" w:rsidRDefault="002F195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B6C12" w:rsidRDefault="008A2D47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  <w:r>
      <w:rPr>
        <w:color w:val="000000"/>
      </w:rPr>
      <w:t xml:space="preserve">         </w:t>
    </w:r>
  </w:p>
  <w:tbl>
    <w:tblPr>
      <w:tblStyle w:val="a0"/>
      <w:tblW w:w="9658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000" w:firstRow="0" w:lastRow="0" w:firstColumn="0" w:lastColumn="0" w:noHBand="0" w:noVBand="0"/>
    </w:tblPr>
    <w:tblGrid>
      <w:gridCol w:w="1636"/>
      <w:gridCol w:w="6356"/>
      <w:gridCol w:w="1666"/>
    </w:tblGrid>
    <w:tr w:rsidR="00FB6C12">
      <w:trPr>
        <w:trHeight w:val="367"/>
        <w:jc w:val="center"/>
      </w:trPr>
      <w:tc>
        <w:tcPr>
          <w:tcW w:w="1636" w:type="dxa"/>
          <w:vMerge w:val="restart"/>
          <w:vAlign w:val="center"/>
        </w:tcPr>
        <w:p w:rsidR="00FB6C12" w:rsidRDefault="008A2D4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color w:val="000000"/>
            </w:rPr>
          </w:pPr>
          <w:r>
            <w:rPr>
              <w:noProof/>
              <w:color w:val="000000"/>
              <w:lang w:val="en-US"/>
            </w:rPr>
            <w:drawing>
              <wp:inline distT="0" distB="0" distL="0" distR="0">
                <wp:extent cx="901700" cy="901700"/>
                <wp:effectExtent l="0" t="0" r="0" b="0"/>
                <wp:docPr id="1" name="image2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01700" cy="90170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shd w:val="clear" w:color="auto" w:fill="FFFFFF"/>
          <w:vAlign w:val="center"/>
        </w:tcPr>
        <w:p w:rsidR="00FB6C12" w:rsidRDefault="008A2D4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b/>
              <w:bCs/>
              <w:color w:val="000099"/>
              <w:sz w:val="24"/>
              <w:szCs w:val="24"/>
            </w:rPr>
          </w:pPr>
          <w:r>
            <w:rPr>
              <w:b/>
              <w:bCs/>
              <w:color w:val="000099"/>
              <w:sz w:val="24"/>
              <w:szCs w:val="24"/>
            </w:rPr>
            <w:t>Универзитет у Нишу</w:t>
          </w:r>
        </w:p>
        <w:p w:rsidR="00FB6C12" w:rsidRDefault="008A2D4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b/>
              <w:bCs/>
              <w:color w:val="000099"/>
              <w:sz w:val="24"/>
              <w:szCs w:val="24"/>
            </w:rPr>
          </w:pPr>
          <w:r>
            <w:rPr>
              <w:b/>
              <w:bCs/>
              <w:color w:val="000099"/>
              <w:sz w:val="24"/>
              <w:szCs w:val="24"/>
            </w:rPr>
            <w:t>Филозофски факултет</w:t>
          </w:r>
        </w:p>
      </w:tc>
      <w:tc>
        <w:tcPr>
          <w:tcW w:w="1666" w:type="dxa"/>
          <w:vMerge w:val="restart"/>
          <w:vAlign w:val="center"/>
        </w:tcPr>
        <w:p w:rsidR="00FB6C12" w:rsidRDefault="008A2D4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color w:val="000000"/>
            </w:rPr>
          </w:pPr>
          <w:r>
            <w:rPr>
              <w:noProof/>
              <w:color w:val="000000"/>
              <w:lang w:val="en-US"/>
            </w:rPr>
            <w:drawing>
              <wp:inline distT="0" distB="0" distL="0" distR="0">
                <wp:extent cx="920750" cy="920750"/>
                <wp:effectExtent l="0" t="0" r="0" b="0"/>
                <wp:docPr id="2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20750" cy="92075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</w:tr>
    <w:tr w:rsidR="00FB6C12">
      <w:trPr>
        <w:trHeight w:val="467"/>
        <w:jc w:val="center"/>
      </w:trPr>
      <w:tc>
        <w:tcPr>
          <w:tcW w:w="1636" w:type="dxa"/>
          <w:vMerge/>
          <w:vAlign w:val="center"/>
        </w:tcPr>
        <w:p w:rsidR="00FB6C12" w:rsidRDefault="00FB6C12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color w:val="000000"/>
            </w:rPr>
          </w:pPr>
        </w:p>
      </w:tc>
      <w:tc>
        <w:tcPr>
          <w:tcW w:w="6356" w:type="dxa"/>
          <w:shd w:val="clear" w:color="auto" w:fill="E6E6E6"/>
          <w:vAlign w:val="center"/>
        </w:tcPr>
        <w:p w:rsidR="00FB6C12" w:rsidRDefault="008A2D4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b/>
              <w:bCs/>
              <w:color w:val="000099"/>
              <w:sz w:val="24"/>
              <w:szCs w:val="24"/>
            </w:rPr>
          </w:pPr>
          <w:r>
            <w:rPr>
              <w:b/>
              <w:bCs/>
              <w:color w:val="000099"/>
              <w:sz w:val="24"/>
              <w:szCs w:val="24"/>
            </w:rPr>
            <w:t>Акредитација студијског програма</w:t>
          </w:r>
        </w:p>
      </w:tc>
      <w:tc>
        <w:tcPr>
          <w:tcW w:w="1666" w:type="dxa"/>
          <w:vMerge/>
          <w:vAlign w:val="center"/>
        </w:tcPr>
        <w:p w:rsidR="00FB6C12" w:rsidRDefault="00FB6C12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b/>
              <w:bCs/>
              <w:color w:val="000099"/>
              <w:sz w:val="24"/>
              <w:szCs w:val="24"/>
            </w:rPr>
          </w:pPr>
        </w:p>
      </w:tc>
    </w:tr>
    <w:tr w:rsidR="00FB6C12">
      <w:trPr>
        <w:trHeight w:val="449"/>
        <w:jc w:val="center"/>
      </w:trPr>
      <w:tc>
        <w:tcPr>
          <w:tcW w:w="1636" w:type="dxa"/>
          <w:vMerge/>
          <w:vAlign w:val="center"/>
        </w:tcPr>
        <w:p w:rsidR="00FB6C12" w:rsidRDefault="00FB6C12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b/>
              <w:bCs/>
              <w:color w:val="000099"/>
              <w:sz w:val="24"/>
              <w:szCs w:val="24"/>
            </w:rPr>
          </w:pPr>
        </w:p>
      </w:tc>
      <w:tc>
        <w:tcPr>
          <w:tcW w:w="6356" w:type="dxa"/>
          <w:shd w:val="clear" w:color="auto" w:fill="FFFFFF"/>
          <w:vAlign w:val="center"/>
        </w:tcPr>
        <w:p w:rsidR="00FB6C12" w:rsidRPr="00754914" w:rsidRDefault="008A2D47" w:rsidP="0059536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b/>
              <w:bCs/>
              <w:color w:val="333399"/>
              <w:sz w:val="24"/>
              <w:szCs w:val="24"/>
            </w:rPr>
          </w:pPr>
          <w:r>
            <w:rPr>
              <w:b/>
              <w:bCs/>
              <w:color w:val="333399"/>
              <w:sz w:val="24"/>
              <w:szCs w:val="24"/>
            </w:rPr>
            <w:t>Мастер академске студије педагогије</w:t>
          </w:r>
        </w:p>
      </w:tc>
      <w:tc>
        <w:tcPr>
          <w:tcW w:w="1666" w:type="dxa"/>
          <w:vMerge/>
          <w:vAlign w:val="center"/>
        </w:tcPr>
        <w:p w:rsidR="00FB6C12" w:rsidRDefault="00FB6C12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b/>
              <w:bCs/>
              <w:color w:val="000099"/>
              <w:sz w:val="22"/>
              <w:szCs w:val="22"/>
            </w:rPr>
          </w:pPr>
        </w:p>
      </w:tc>
    </w:tr>
  </w:tbl>
  <w:p w:rsidR="00FB6C12" w:rsidRDefault="008A2D47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jc w:val="center"/>
      <w:rPr>
        <w:color w:val="000000"/>
      </w:rPr>
    </w:pPr>
    <w:r>
      <w:rPr>
        <w:color w:val="000000"/>
      </w:rPr>
      <w:t xml:space="preserve">         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B6C12"/>
    <w:rsid w:val="002F1958"/>
    <w:rsid w:val="00595369"/>
    <w:rsid w:val="00754914"/>
    <w:rsid w:val="008A2D47"/>
    <w:rsid w:val="009918C0"/>
    <w:rsid w:val="00DB6F91"/>
    <w:rsid w:val="00FB6C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31619F3"/>
  <w15:docId w15:val="{EEA40047-A1F6-4265-A515-CC7B6C52FF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sr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outlineLvl w:val="0"/>
    </w:pPr>
    <w:rPr>
      <w:b/>
      <w:bCs/>
      <w:sz w:val="24"/>
      <w:szCs w:val="24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93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75491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54914"/>
  </w:style>
  <w:style w:type="paragraph" w:styleId="Footer">
    <w:name w:val="footer"/>
    <w:basedOn w:val="Normal"/>
    <w:link w:val="FooterChar"/>
    <w:uiPriority w:val="99"/>
    <w:unhideWhenUsed/>
    <w:rsid w:val="0075491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5491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MqIHUx7kraRa4C06mMcrna4tyTg==">CgMxLjAyDmguMmlvZDh4YW9zcmVtOAByITFKUWdtOGhBRWUxOGJyUFBwRmxySmhMbFpyRGo3by04Uw==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3</Pages>
  <Words>1612</Words>
  <Characters>9193</Characters>
  <Application>Microsoft Office Word</Application>
  <DocSecurity>0</DocSecurity>
  <Lines>76</Lines>
  <Paragraphs>21</Paragraphs>
  <ScaleCrop>false</ScaleCrop>
  <Company/>
  <LinksUpToDate>false</LinksUpToDate>
  <CharactersWithSpaces>10784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HP</cp:lastModifiedBy>
  <cp:revision>5</cp:revision>
  <dcterms:created xsi:type="dcterms:W3CDTF">2026-07-06T10:20:00Z</dcterms:created>
  <dcterms:modified xsi:type="dcterms:W3CDTF">2026-07-06T11:42:00Z</dcterms:modified>
</cp:coreProperties>
</file>